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6C" w:rsidRPr="00460E6C" w:rsidRDefault="00460E6C" w:rsidP="00460E6C">
      <w:pPr>
        <w:jc w:val="center"/>
        <w:rPr>
          <w:rFonts w:cs="Arial"/>
          <w:b/>
          <w:sz w:val="24"/>
          <w:szCs w:val="24"/>
          <w:u w:val="single"/>
        </w:rPr>
      </w:pPr>
      <w:bookmarkStart w:id="0" w:name="_GoBack"/>
      <w:bookmarkEnd w:id="0"/>
      <w:r w:rsidRPr="00460E6C">
        <w:rPr>
          <w:rFonts w:cs="Arial"/>
          <w:b/>
          <w:sz w:val="24"/>
          <w:szCs w:val="24"/>
          <w:u w:val="single"/>
        </w:rPr>
        <w:t>Informationen zur Dronabinoltestung</w:t>
      </w:r>
    </w:p>
    <w:p w:rsidR="00460E6C" w:rsidRDefault="00460E6C" w:rsidP="00E82153">
      <w:pPr>
        <w:rPr>
          <w:rFonts w:cs="Arial"/>
          <w:sz w:val="24"/>
          <w:szCs w:val="24"/>
        </w:rPr>
      </w:pPr>
    </w:p>
    <w:p w:rsidR="00460E6C" w:rsidRDefault="00460E6C" w:rsidP="00E82153">
      <w:pPr>
        <w:rPr>
          <w:rFonts w:cs="Arial"/>
          <w:sz w:val="24"/>
          <w:szCs w:val="24"/>
        </w:rPr>
      </w:pPr>
    </w:p>
    <w:p w:rsidR="00460E6C" w:rsidRDefault="00460E6C" w:rsidP="00E82153">
      <w:pPr>
        <w:rPr>
          <w:rFonts w:cs="Arial"/>
          <w:sz w:val="24"/>
          <w:szCs w:val="24"/>
        </w:rPr>
      </w:pPr>
    </w:p>
    <w:p w:rsidR="00460E6C" w:rsidRDefault="00460E6C" w:rsidP="00E82153">
      <w:pPr>
        <w:rPr>
          <w:rFonts w:cs="Arial"/>
          <w:sz w:val="24"/>
          <w:szCs w:val="24"/>
        </w:rPr>
      </w:pPr>
    </w:p>
    <w:p w:rsidR="00E82153" w:rsidRPr="003A0E91" w:rsidRDefault="00E82153" w:rsidP="00E82153">
      <w:pPr>
        <w:rPr>
          <w:rFonts w:cs="Arial"/>
          <w:sz w:val="24"/>
          <w:szCs w:val="24"/>
        </w:rPr>
      </w:pPr>
      <w:r w:rsidRPr="003A0E91">
        <w:rPr>
          <w:rFonts w:cs="Arial"/>
          <w:sz w:val="24"/>
          <w:szCs w:val="24"/>
        </w:rPr>
        <w:t>Sehr geehrte Patientin, sehr geehrter Patient,</w:t>
      </w:r>
    </w:p>
    <w:p w:rsidR="00E82153" w:rsidRPr="003A0E91" w:rsidRDefault="00E82153" w:rsidP="00E82153">
      <w:pPr>
        <w:rPr>
          <w:rFonts w:cs="Arial"/>
          <w:sz w:val="24"/>
          <w:szCs w:val="24"/>
        </w:rPr>
      </w:pPr>
    </w:p>
    <w:p w:rsidR="00E82153" w:rsidRPr="003A0E91" w:rsidRDefault="00E82153" w:rsidP="003A0E91">
      <w:pPr>
        <w:ind w:left="708"/>
        <w:jc w:val="both"/>
        <w:rPr>
          <w:rFonts w:cs="Arial"/>
          <w:sz w:val="24"/>
          <w:szCs w:val="24"/>
        </w:rPr>
      </w:pPr>
      <w:r w:rsidRPr="003A0E91">
        <w:rPr>
          <w:rFonts w:cs="Arial"/>
          <w:sz w:val="24"/>
          <w:szCs w:val="24"/>
        </w:rPr>
        <w:t xml:space="preserve">Sie haben sich bei uns zur stationären Testung von synthetischem THC </w:t>
      </w:r>
      <w:r w:rsidR="00F022C2" w:rsidRPr="003A0E91">
        <w:rPr>
          <w:rFonts w:cs="Arial"/>
          <w:sz w:val="24"/>
          <w:szCs w:val="24"/>
        </w:rPr>
        <w:t xml:space="preserve">(also der Reinform der Cannabispflanze) </w:t>
      </w:r>
      <w:r w:rsidRPr="003A0E91">
        <w:rPr>
          <w:rFonts w:cs="Arial"/>
          <w:sz w:val="24"/>
          <w:szCs w:val="24"/>
        </w:rPr>
        <w:t>vorgestellt.</w:t>
      </w:r>
    </w:p>
    <w:p w:rsidR="00E82153" w:rsidRPr="003A0E91" w:rsidRDefault="00E82153" w:rsidP="00E82153">
      <w:pPr>
        <w:jc w:val="both"/>
        <w:rPr>
          <w:rFonts w:cs="Arial"/>
          <w:sz w:val="24"/>
          <w:szCs w:val="24"/>
        </w:rPr>
      </w:pPr>
    </w:p>
    <w:p w:rsidR="00E82153" w:rsidRPr="003A0E91" w:rsidRDefault="00E82153" w:rsidP="003A0E91">
      <w:pPr>
        <w:ind w:left="708"/>
        <w:jc w:val="both"/>
        <w:rPr>
          <w:rFonts w:cs="Arial"/>
          <w:sz w:val="24"/>
          <w:szCs w:val="24"/>
        </w:rPr>
      </w:pPr>
      <w:r w:rsidRPr="003A0E91">
        <w:rPr>
          <w:rFonts w:cs="Arial"/>
          <w:sz w:val="24"/>
          <w:szCs w:val="24"/>
        </w:rPr>
        <w:t xml:space="preserve">Medizinisches </w:t>
      </w:r>
      <w:r w:rsidR="00F022C2" w:rsidRPr="003A0E91">
        <w:rPr>
          <w:rFonts w:cs="Arial"/>
          <w:sz w:val="24"/>
          <w:szCs w:val="24"/>
        </w:rPr>
        <w:t>THC</w:t>
      </w:r>
      <w:r w:rsidRPr="003A0E91">
        <w:rPr>
          <w:rFonts w:cs="Arial"/>
          <w:sz w:val="24"/>
          <w:szCs w:val="24"/>
        </w:rPr>
        <w:t xml:space="preserve"> </w:t>
      </w:r>
      <w:r w:rsidR="00F022C2" w:rsidRPr="003A0E91">
        <w:rPr>
          <w:rFonts w:cs="Arial"/>
          <w:sz w:val="24"/>
          <w:szCs w:val="24"/>
        </w:rPr>
        <w:t>wird bei uns aussc</w:t>
      </w:r>
      <w:r w:rsidR="00460E6C">
        <w:rPr>
          <w:rFonts w:cs="Arial"/>
          <w:sz w:val="24"/>
          <w:szCs w:val="24"/>
        </w:rPr>
        <w:t xml:space="preserve">hließlich als ölige Lösung, </w:t>
      </w:r>
      <w:r w:rsidR="00F022C2" w:rsidRPr="003A0E91">
        <w:rPr>
          <w:rFonts w:cs="Arial"/>
          <w:sz w:val="24"/>
          <w:szCs w:val="24"/>
        </w:rPr>
        <w:t>sowohl als Tropfenform als auch in Kapseln, angewendet.</w:t>
      </w:r>
    </w:p>
    <w:p w:rsidR="00F022C2" w:rsidRPr="003A0E91" w:rsidRDefault="00F022C2" w:rsidP="00E82153">
      <w:pPr>
        <w:jc w:val="both"/>
        <w:rPr>
          <w:rFonts w:cs="Arial"/>
          <w:sz w:val="24"/>
          <w:szCs w:val="24"/>
        </w:rPr>
      </w:pPr>
    </w:p>
    <w:p w:rsidR="00F022C2" w:rsidRPr="00460E6C" w:rsidRDefault="00F022C2" w:rsidP="003A0E91">
      <w:pPr>
        <w:ind w:firstLine="708"/>
        <w:jc w:val="both"/>
        <w:rPr>
          <w:rFonts w:cs="Arial"/>
          <w:i/>
          <w:sz w:val="24"/>
          <w:szCs w:val="24"/>
        </w:rPr>
      </w:pPr>
      <w:r w:rsidRPr="00460E6C">
        <w:rPr>
          <w:rFonts w:cs="Arial"/>
          <w:i/>
          <w:sz w:val="24"/>
          <w:szCs w:val="24"/>
        </w:rPr>
        <w:t>Die Testung der Cannabispflanze in Form von Inhalation führen wir nicht durch.</w:t>
      </w:r>
    </w:p>
    <w:p w:rsidR="00E82153" w:rsidRDefault="00E82153" w:rsidP="00460E6C">
      <w:pPr>
        <w:jc w:val="both"/>
        <w:rPr>
          <w:rFonts w:cs="Arial"/>
          <w:sz w:val="24"/>
          <w:szCs w:val="24"/>
        </w:rPr>
      </w:pPr>
    </w:p>
    <w:p w:rsidR="00460E6C" w:rsidRPr="00460E6C" w:rsidRDefault="00460E6C" w:rsidP="00460E6C">
      <w:pPr>
        <w:jc w:val="both"/>
        <w:rPr>
          <w:rFonts w:cs="Arial"/>
        </w:rPr>
      </w:pPr>
    </w:p>
    <w:p w:rsidR="00E82153" w:rsidRPr="003A0E91" w:rsidRDefault="00F022C2" w:rsidP="0002732D">
      <w:pPr>
        <w:jc w:val="both"/>
        <w:rPr>
          <w:rFonts w:cs="Arial"/>
          <w:sz w:val="24"/>
          <w:szCs w:val="24"/>
          <w:u w:val="single"/>
        </w:rPr>
      </w:pPr>
      <w:r w:rsidRPr="003A0E91">
        <w:rPr>
          <w:rFonts w:cs="Arial"/>
          <w:sz w:val="24"/>
          <w:szCs w:val="24"/>
          <w:u w:val="single"/>
        </w:rPr>
        <w:t>Anwendung</w:t>
      </w:r>
      <w:r w:rsidR="00E82153" w:rsidRPr="003A0E91">
        <w:rPr>
          <w:rFonts w:cs="Arial"/>
          <w:sz w:val="24"/>
          <w:szCs w:val="24"/>
          <w:u w:val="single"/>
        </w:rPr>
        <w:t xml:space="preserve"> in der Schmerztherapie:</w:t>
      </w:r>
    </w:p>
    <w:p w:rsidR="00E82153" w:rsidRPr="003A0E91" w:rsidRDefault="00F022C2" w:rsidP="0002732D">
      <w:pPr>
        <w:pStyle w:val="Listenabsatz"/>
        <w:numPr>
          <w:ilvl w:val="0"/>
          <w:numId w:val="4"/>
        </w:numPr>
        <w:jc w:val="both"/>
        <w:rPr>
          <w:rFonts w:ascii="Arial" w:hAnsi="Arial" w:cs="Arial"/>
        </w:rPr>
      </w:pPr>
      <w:r w:rsidRPr="003A0E91">
        <w:rPr>
          <w:rFonts w:ascii="Arial" w:hAnsi="Arial" w:cs="Arial"/>
        </w:rPr>
        <w:t xml:space="preserve">Bei </w:t>
      </w:r>
      <w:r w:rsidR="00E82153" w:rsidRPr="003A0E91">
        <w:rPr>
          <w:rFonts w:ascii="Arial" w:hAnsi="Arial" w:cs="Arial"/>
        </w:rPr>
        <w:t>Schmerzen</w:t>
      </w:r>
    </w:p>
    <w:p w:rsidR="00E82153" w:rsidRPr="003A0E91" w:rsidRDefault="00F022C2" w:rsidP="0002732D">
      <w:pPr>
        <w:pStyle w:val="Listenabsatz"/>
        <w:numPr>
          <w:ilvl w:val="0"/>
          <w:numId w:val="4"/>
        </w:numPr>
        <w:jc w:val="both"/>
        <w:rPr>
          <w:rFonts w:ascii="Arial" w:hAnsi="Arial" w:cs="Arial"/>
        </w:rPr>
      </w:pPr>
      <w:r w:rsidRPr="003A0E91">
        <w:rPr>
          <w:rFonts w:ascii="Arial" w:hAnsi="Arial" w:cs="Arial"/>
        </w:rPr>
        <w:t xml:space="preserve">Bei </w:t>
      </w:r>
      <w:r w:rsidR="00E82153" w:rsidRPr="003A0E91">
        <w:rPr>
          <w:rFonts w:ascii="Arial" w:hAnsi="Arial" w:cs="Arial"/>
        </w:rPr>
        <w:t xml:space="preserve">Spastik </w:t>
      </w:r>
    </w:p>
    <w:p w:rsidR="00E82153" w:rsidRPr="003A0E91" w:rsidRDefault="00F022C2" w:rsidP="0002732D">
      <w:pPr>
        <w:pStyle w:val="Listenabsatz"/>
        <w:numPr>
          <w:ilvl w:val="0"/>
          <w:numId w:val="4"/>
        </w:numPr>
        <w:jc w:val="both"/>
        <w:rPr>
          <w:rFonts w:ascii="Arial" w:hAnsi="Arial" w:cs="Arial"/>
        </w:rPr>
      </w:pPr>
      <w:r w:rsidRPr="003A0E91">
        <w:rPr>
          <w:rFonts w:ascii="Arial" w:hAnsi="Arial" w:cs="Arial"/>
        </w:rPr>
        <w:t xml:space="preserve">Bei </w:t>
      </w:r>
      <w:r w:rsidR="00E82153" w:rsidRPr="003A0E91">
        <w:rPr>
          <w:rFonts w:ascii="Arial" w:hAnsi="Arial" w:cs="Arial"/>
        </w:rPr>
        <w:t>Appetitlosigkeit/Gewichtsverlust im Rahmen von Tumorschmerzen, die auf herkömmliche Medikamenten therapieresistent sind.</w:t>
      </w:r>
    </w:p>
    <w:p w:rsidR="00E82153" w:rsidRPr="003A0E91" w:rsidRDefault="00E82153" w:rsidP="0002732D">
      <w:pPr>
        <w:pStyle w:val="Listenabsatz"/>
        <w:numPr>
          <w:ilvl w:val="0"/>
          <w:numId w:val="4"/>
        </w:numPr>
        <w:jc w:val="both"/>
        <w:rPr>
          <w:rFonts w:ascii="Arial" w:hAnsi="Arial" w:cs="Arial"/>
        </w:rPr>
      </w:pPr>
      <w:r w:rsidRPr="003A0E91">
        <w:rPr>
          <w:rFonts w:ascii="Arial" w:hAnsi="Arial" w:cs="Arial"/>
        </w:rPr>
        <w:t xml:space="preserve">Siehe auch </w:t>
      </w:r>
      <w:hyperlink r:id="rId5" w:history="1">
        <w:r w:rsidRPr="003A0E91">
          <w:rPr>
            <w:rStyle w:val="Hyperlink"/>
            <w:rFonts w:ascii="Arial" w:hAnsi="Arial" w:cs="Arial"/>
            <w:color w:val="auto"/>
            <w:u w:val="none"/>
          </w:rPr>
          <w:t>www.akdae.de</w:t>
        </w:r>
      </w:hyperlink>
    </w:p>
    <w:p w:rsidR="00E82153" w:rsidRPr="003A0E91" w:rsidRDefault="00E82153" w:rsidP="0002732D">
      <w:pPr>
        <w:pStyle w:val="Listenabsatz"/>
        <w:numPr>
          <w:ilvl w:val="0"/>
          <w:numId w:val="4"/>
        </w:numPr>
        <w:jc w:val="both"/>
        <w:rPr>
          <w:rFonts w:ascii="Arial" w:hAnsi="Arial" w:cs="Arial"/>
        </w:rPr>
      </w:pPr>
      <w:r w:rsidRPr="003A0E91">
        <w:rPr>
          <w:rFonts w:ascii="Arial" w:hAnsi="Arial" w:cs="Arial"/>
        </w:rPr>
        <w:t>Wunsch des Patienten, auch über Verordnung auf Privatrezept stellt keine Indikation dar.</w:t>
      </w:r>
    </w:p>
    <w:p w:rsidR="00E82153" w:rsidRPr="003A0E91" w:rsidRDefault="00E82153" w:rsidP="0002732D">
      <w:pPr>
        <w:jc w:val="both"/>
        <w:rPr>
          <w:rFonts w:cs="Arial"/>
          <w:sz w:val="24"/>
          <w:szCs w:val="24"/>
        </w:rPr>
      </w:pPr>
    </w:p>
    <w:p w:rsidR="00E82153" w:rsidRPr="003A0E91" w:rsidRDefault="00E82153" w:rsidP="0002732D">
      <w:pPr>
        <w:jc w:val="both"/>
        <w:rPr>
          <w:rFonts w:cs="Arial"/>
          <w:sz w:val="24"/>
          <w:szCs w:val="24"/>
          <w:u w:val="single"/>
        </w:rPr>
      </w:pPr>
      <w:r w:rsidRPr="003A0E91">
        <w:rPr>
          <w:rFonts w:cs="Arial"/>
          <w:sz w:val="24"/>
          <w:szCs w:val="24"/>
          <w:u w:val="single"/>
        </w:rPr>
        <w:t>Nebenwirkungen:</w:t>
      </w:r>
    </w:p>
    <w:p w:rsidR="00E82153" w:rsidRPr="003A0E91" w:rsidRDefault="00E82153" w:rsidP="0002732D">
      <w:pPr>
        <w:pStyle w:val="Listenabsatz"/>
        <w:numPr>
          <w:ilvl w:val="0"/>
          <w:numId w:val="5"/>
        </w:numPr>
        <w:jc w:val="both"/>
        <w:rPr>
          <w:rFonts w:ascii="Arial" w:hAnsi="Arial" w:cs="Arial"/>
        </w:rPr>
      </w:pPr>
      <w:r w:rsidRPr="003A0E91">
        <w:rPr>
          <w:rFonts w:ascii="Arial" w:hAnsi="Arial" w:cs="Arial"/>
        </w:rPr>
        <w:t>Zentralnervöse Nebenwirkungen, u. a. Euphorie, Benommenheit, Halluzinationen etc. Alle Patienten, die über Euphorie berichteten, berichteten auch differenziert, dass es wenig Schmerzlinderung brachte und wünschten keine weitere Therapie mit Cannabis.</w:t>
      </w:r>
    </w:p>
    <w:p w:rsidR="00E82153" w:rsidRPr="003A0E91" w:rsidRDefault="00E82153" w:rsidP="0002732D">
      <w:pPr>
        <w:pStyle w:val="Listenabsatz"/>
        <w:numPr>
          <w:ilvl w:val="0"/>
          <w:numId w:val="5"/>
        </w:numPr>
        <w:jc w:val="both"/>
        <w:rPr>
          <w:rFonts w:ascii="Arial" w:hAnsi="Arial" w:cs="Arial"/>
        </w:rPr>
      </w:pPr>
      <w:r w:rsidRPr="003A0E91">
        <w:rPr>
          <w:rFonts w:ascii="Arial" w:hAnsi="Arial" w:cs="Arial"/>
        </w:rPr>
        <w:t>Sympathomimetische Nebenwirkungen, wie z</w:t>
      </w:r>
      <w:r w:rsidR="003A0E91" w:rsidRPr="003A0E91">
        <w:rPr>
          <w:rFonts w:ascii="Arial" w:hAnsi="Arial" w:cs="Arial"/>
        </w:rPr>
        <w:t>. B. Herzrasen und Herzstolpern</w:t>
      </w:r>
      <w:r w:rsidRPr="003A0E91">
        <w:rPr>
          <w:rFonts w:ascii="Arial" w:hAnsi="Arial" w:cs="Arial"/>
        </w:rPr>
        <w:t>. Vorsicht bei kardialer Anamnese, ggfs. EKG vor Therapiebeginn und im Verlauf</w:t>
      </w:r>
    </w:p>
    <w:p w:rsidR="00E82153" w:rsidRPr="003A0E91" w:rsidRDefault="00E82153" w:rsidP="0002732D">
      <w:pPr>
        <w:pStyle w:val="Listenabsatz"/>
        <w:numPr>
          <w:ilvl w:val="0"/>
          <w:numId w:val="5"/>
        </w:numPr>
        <w:jc w:val="both"/>
        <w:rPr>
          <w:rFonts w:ascii="Arial" w:hAnsi="Arial" w:cs="Arial"/>
        </w:rPr>
      </w:pPr>
      <w:r w:rsidRPr="003A0E91">
        <w:rPr>
          <w:rFonts w:ascii="Arial" w:hAnsi="Arial" w:cs="Arial"/>
        </w:rPr>
        <w:t>Psychose. Bislang noch kein Fall aufgetreten.</w:t>
      </w:r>
    </w:p>
    <w:p w:rsidR="00E82153" w:rsidRPr="003A0E91" w:rsidRDefault="00E82153" w:rsidP="0002732D">
      <w:pPr>
        <w:pStyle w:val="Listenabsatz"/>
        <w:numPr>
          <w:ilvl w:val="0"/>
          <w:numId w:val="5"/>
        </w:numPr>
        <w:jc w:val="both"/>
        <w:rPr>
          <w:rFonts w:ascii="Arial" w:hAnsi="Arial" w:cs="Arial"/>
        </w:rPr>
      </w:pPr>
      <w:r w:rsidRPr="003A0E91">
        <w:rPr>
          <w:rFonts w:ascii="Arial" w:hAnsi="Arial" w:cs="Arial"/>
        </w:rPr>
        <w:t>Massive Übelkeit und Erbrechen</w:t>
      </w:r>
      <w:r w:rsidR="003A0E91" w:rsidRPr="003A0E91">
        <w:rPr>
          <w:rFonts w:ascii="Arial" w:hAnsi="Arial" w:cs="Arial"/>
        </w:rPr>
        <w:t xml:space="preserve"> bei zu schneller Aufdosierung.</w:t>
      </w:r>
    </w:p>
    <w:p w:rsidR="0002732D" w:rsidRPr="003A0E91" w:rsidRDefault="0002732D" w:rsidP="0002732D">
      <w:pPr>
        <w:jc w:val="both"/>
        <w:rPr>
          <w:rFonts w:cs="Arial"/>
          <w:sz w:val="24"/>
          <w:szCs w:val="24"/>
        </w:rPr>
      </w:pPr>
    </w:p>
    <w:p w:rsidR="003A0E91" w:rsidRPr="003A0E91" w:rsidRDefault="003A0E91" w:rsidP="003A0E91">
      <w:pPr>
        <w:jc w:val="both"/>
        <w:rPr>
          <w:rFonts w:cs="Arial"/>
          <w:sz w:val="24"/>
          <w:szCs w:val="24"/>
          <w:u w:val="single"/>
        </w:rPr>
      </w:pPr>
      <w:r w:rsidRPr="003A0E91">
        <w:rPr>
          <w:rFonts w:cs="Arial"/>
          <w:sz w:val="24"/>
          <w:szCs w:val="24"/>
          <w:u w:val="single"/>
        </w:rPr>
        <w:t>Pharmakologie:</w:t>
      </w:r>
    </w:p>
    <w:p w:rsidR="003A0E91" w:rsidRPr="003A0E91" w:rsidRDefault="003A0E91" w:rsidP="003A0E91">
      <w:pPr>
        <w:pStyle w:val="Listenabsatz"/>
        <w:numPr>
          <w:ilvl w:val="0"/>
          <w:numId w:val="7"/>
        </w:numPr>
        <w:rPr>
          <w:rFonts w:ascii="Arial" w:hAnsi="Arial" w:cs="Arial"/>
        </w:rPr>
      </w:pPr>
      <w:r w:rsidRPr="003A0E91">
        <w:rPr>
          <w:rFonts w:ascii="Arial" w:hAnsi="Arial" w:cs="Arial"/>
        </w:rPr>
        <w:t>Initialdosis: 2  x 2,5 mg</w:t>
      </w:r>
    </w:p>
    <w:p w:rsidR="003A0E91" w:rsidRPr="003A0E91" w:rsidRDefault="003A0E91" w:rsidP="003A0E91">
      <w:pPr>
        <w:pStyle w:val="Listenabsatz"/>
        <w:numPr>
          <w:ilvl w:val="0"/>
          <w:numId w:val="7"/>
        </w:numPr>
        <w:rPr>
          <w:rFonts w:ascii="Arial" w:hAnsi="Arial" w:cs="Arial"/>
        </w:rPr>
      </w:pPr>
      <w:r w:rsidRPr="003A0E91">
        <w:rPr>
          <w:rFonts w:ascii="Arial" w:hAnsi="Arial" w:cs="Arial"/>
        </w:rPr>
        <w:t xml:space="preserve">Bioverfügbarkeit: 10-20% </w:t>
      </w:r>
    </w:p>
    <w:p w:rsidR="003A0E91" w:rsidRPr="003A0E91" w:rsidRDefault="003A0E91" w:rsidP="003A0E91">
      <w:pPr>
        <w:pStyle w:val="Listenabsatz"/>
        <w:numPr>
          <w:ilvl w:val="0"/>
          <w:numId w:val="7"/>
        </w:numPr>
        <w:rPr>
          <w:rFonts w:ascii="Arial" w:hAnsi="Arial" w:cs="Arial"/>
        </w:rPr>
      </w:pPr>
      <w:r w:rsidRPr="003A0E91">
        <w:rPr>
          <w:rFonts w:ascii="Arial" w:hAnsi="Arial" w:cs="Arial"/>
        </w:rPr>
        <w:t>Plasmaproteinbindung: 97%</w:t>
      </w:r>
    </w:p>
    <w:p w:rsidR="003A0E91" w:rsidRPr="003A0E91" w:rsidRDefault="003A0E91" w:rsidP="003A0E91">
      <w:pPr>
        <w:pStyle w:val="Listenabsatz"/>
        <w:numPr>
          <w:ilvl w:val="0"/>
          <w:numId w:val="7"/>
        </w:numPr>
        <w:rPr>
          <w:rFonts w:ascii="Arial" w:hAnsi="Arial" w:cs="Arial"/>
        </w:rPr>
      </w:pPr>
      <w:r w:rsidRPr="003A0E91">
        <w:rPr>
          <w:rFonts w:ascii="Arial" w:hAnsi="Arial" w:cs="Arial"/>
        </w:rPr>
        <w:t>Wirkeintritt: 30-60 Minuten</w:t>
      </w:r>
    </w:p>
    <w:p w:rsidR="003A0E91" w:rsidRPr="003A0E91" w:rsidRDefault="003A0E91" w:rsidP="003A0E91">
      <w:pPr>
        <w:pStyle w:val="Listenabsatz"/>
        <w:numPr>
          <w:ilvl w:val="0"/>
          <w:numId w:val="7"/>
        </w:numPr>
        <w:rPr>
          <w:rFonts w:ascii="Arial" w:hAnsi="Arial" w:cs="Arial"/>
        </w:rPr>
      </w:pPr>
      <w:r w:rsidRPr="003A0E91">
        <w:rPr>
          <w:rFonts w:ascii="Arial" w:hAnsi="Arial" w:cs="Arial"/>
        </w:rPr>
        <w:t>Wirkdauer: 8-12 Stunden</w:t>
      </w:r>
    </w:p>
    <w:p w:rsidR="003A0E91" w:rsidRPr="003A0E91" w:rsidRDefault="003A0E91" w:rsidP="003A0E91">
      <w:pPr>
        <w:pStyle w:val="Listenabsatz"/>
        <w:numPr>
          <w:ilvl w:val="0"/>
          <w:numId w:val="7"/>
        </w:numPr>
        <w:rPr>
          <w:rFonts w:ascii="Arial" w:hAnsi="Arial" w:cs="Arial"/>
        </w:rPr>
      </w:pPr>
      <w:r w:rsidRPr="003A0E91">
        <w:rPr>
          <w:rFonts w:ascii="Arial" w:hAnsi="Arial" w:cs="Arial"/>
        </w:rPr>
        <w:t>Halbwertszeit 36 Stunden</w:t>
      </w:r>
    </w:p>
    <w:p w:rsidR="003A0E91" w:rsidRPr="003A0E91" w:rsidRDefault="003A0E91" w:rsidP="003A0E91">
      <w:pPr>
        <w:pStyle w:val="Listenabsatz"/>
        <w:numPr>
          <w:ilvl w:val="0"/>
          <w:numId w:val="7"/>
        </w:numPr>
        <w:rPr>
          <w:rFonts w:ascii="Arial" w:hAnsi="Arial" w:cs="Arial"/>
        </w:rPr>
      </w:pPr>
      <w:r w:rsidRPr="003A0E91">
        <w:rPr>
          <w:rFonts w:ascii="Arial" w:hAnsi="Arial" w:cs="Arial"/>
        </w:rPr>
        <w:t>Übliche Tagesdosis: 10-15 mg (höhere Dosen als 20 mg selten notwendig)</w:t>
      </w:r>
    </w:p>
    <w:p w:rsidR="003A0E91" w:rsidRPr="003A0E91" w:rsidRDefault="003A0E91" w:rsidP="003A0E91">
      <w:pPr>
        <w:pStyle w:val="Listenabsatz"/>
        <w:numPr>
          <w:ilvl w:val="0"/>
          <w:numId w:val="7"/>
        </w:numPr>
        <w:jc w:val="both"/>
        <w:rPr>
          <w:rFonts w:ascii="Arial" w:hAnsi="Arial" w:cs="Arial"/>
        </w:rPr>
      </w:pPr>
      <w:r w:rsidRPr="003A0E91">
        <w:rPr>
          <w:rFonts w:ascii="Arial" w:hAnsi="Arial" w:cs="Arial"/>
        </w:rPr>
        <w:t>Maximaldosis (laut Literatur) bis 90 mg pro Tag. Bei uns maximal 30 mg/Tag notwendig.</w:t>
      </w:r>
    </w:p>
    <w:p w:rsidR="003A0E91" w:rsidRPr="003A0E91" w:rsidRDefault="003A0E91" w:rsidP="0002732D">
      <w:pPr>
        <w:jc w:val="both"/>
        <w:rPr>
          <w:rFonts w:cs="Arial"/>
          <w:sz w:val="24"/>
          <w:szCs w:val="24"/>
        </w:rPr>
      </w:pPr>
    </w:p>
    <w:p w:rsidR="008F512E" w:rsidRDefault="008F512E" w:rsidP="0002732D">
      <w:pPr>
        <w:jc w:val="both"/>
        <w:rPr>
          <w:rFonts w:cs="Arial"/>
          <w:sz w:val="24"/>
          <w:szCs w:val="24"/>
          <w:u w:val="single"/>
        </w:rPr>
      </w:pPr>
    </w:p>
    <w:p w:rsidR="008F512E" w:rsidRDefault="008F512E" w:rsidP="0002732D">
      <w:pPr>
        <w:jc w:val="both"/>
        <w:rPr>
          <w:rFonts w:cs="Arial"/>
          <w:sz w:val="24"/>
          <w:szCs w:val="24"/>
          <w:u w:val="single"/>
        </w:rPr>
      </w:pPr>
    </w:p>
    <w:p w:rsidR="00E82153" w:rsidRPr="003A0E91" w:rsidRDefault="00E82153" w:rsidP="0002732D">
      <w:pPr>
        <w:jc w:val="both"/>
        <w:rPr>
          <w:rFonts w:cs="Arial"/>
          <w:sz w:val="24"/>
          <w:szCs w:val="24"/>
          <w:u w:val="single"/>
        </w:rPr>
      </w:pPr>
      <w:r w:rsidRPr="003A0E91">
        <w:rPr>
          <w:rFonts w:cs="Arial"/>
          <w:sz w:val="24"/>
          <w:szCs w:val="24"/>
          <w:u w:val="single"/>
        </w:rPr>
        <w:lastRenderedPageBreak/>
        <w:t>Formalien:</w:t>
      </w:r>
    </w:p>
    <w:p w:rsidR="00E82153" w:rsidRPr="003A0E91" w:rsidRDefault="00E82153" w:rsidP="0002732D">
      <w:pPr>
        <w:pStyle w:val="Listenabsatz"/>
        <w:numPr>
          <w:ilvl w:val="0"/>
          <w:numId w:val="6"/>
        </w:numPr>
        <w:jc w:val="both"/>
        <w:rPr>
          <w:rFonts w:ascii="Arial" w:hAnsi="Arial" w:cs="Arial"/>
          <w:b/>
        </w:rPr>
      </w:pPr>
      <w:r w:rsidRPr="003A0E91">
        <w:rPr>
          <w:rFonts w:ascii="Arial" w:hAnsi="Arial" w:cs="Arial"/>
          <w:b/>
        </w:rPr>
        <w:t xml:space="preserve">Die Kostenübernahme für medizinisches und synthetisches Cannabis muss bei der Krankenkasse beantragt werden. </w:t>
      </w:r>
      <w:r w:rsidRPr="003A0E91">
        <w:rPr>
          <w:rFonts w:ascii="Arial" w:hAnsi="Arial" w:cs="Arial"/>
        </w:rPr>
        <w:t>Dafür ist ein F</w:t>
      </w:r>
      <w:r w:rsidR="003A0E91" w:rsidRPr="003A0E91">
        <w:rPr>
          <w:rFonts w:ascii="Arial" w:hAnsi="Arial" w:cs="Arial"/>
        </w:rPr>
        <w:t>ormblatt vorgesehen, auf dem u.</w:t>
      </w:r>
      <w:r w:rsidRPr="003A0E91">
        <w:rPr>
          <w:rFonts w:ascii="Arial" w:hAnsi="Arial" w:cs="Arial"/>
        </w:rPr>
        <w:t xml:space="preserve">a. </w:t>
      </w:r>
      <w:r w:rsidR="003A0E91" w:rsidRPr="003A0E91">
        <w:rPr>
          <w:rFonts w:ascii="Arial" w:hAnsi="Arial" w:cs="Arial"/>
        </w:rPr>
        <w:t xml:space="preserve">die </w:t>
      </w:r>
      <w:r w:rsidRPr="003A0E91">
        <w:rPr>
          <w:rFonts w:ascii="Arial" w:hAnsi="Arial" w:cs="Arial"/>
        </w:rPr>
        <w:t>bisherige Therapie und deren Effekt und Nebenwirkungen, die konkrete Substanzbezeichnung mit Dosierung und Einnahmefrequenz, Literaturnachweis über die Wirksamkeit, Indikation, wieso herkömmliche Therapie nicht zur Verfügung stehen, beantwortet werden müssen.</w:t>
      </w:r>
    </w:p>
    <w:p w:rsidR="00E82153" w:rsidRPr="003A0E91" w:rsidRDefault="00E82153" w:rsidP="0002732D">
      <w:pPr>
        <w:pStyle w:val="Listenabsatz"/>
        <w:numPr>
          <w:ilvl w:val="0"/>
          <w:numId w:val="6"/>
        </w:numPr>
        <w:jc w:val="both"/>
        <w:rPr>
          <w:rFonts w:ascii="Arial" w:hAnsi="Arial" w:cs="Arial"/>
        </w:rPr>
      </w:pPr>
      <w:r w:rsidRPr="003A0E91">
        <w:rPr>
          <w:rFonts w:ascii="Arial" w:hAnsi="Arial" w:cs="Arial"/>
        </w:rPr>
        <w:t>Die Genehmigung gilt nur für das beantragte Therapeutikum mit angegebener Konzentration und Dosierung. Genehmigung schützt aktuell (Stand 10/2</w:t>
      </w:r>
      <w:r w:rsidR="0002732D" w:rsidRPr="003A0E91">
        <w:rPr>
          <w:rFonts w:ascii="Arial" w:hAnsi="Arial" w:cs="Arial"/>
        </w:rPr>
        <w:t>017) nicht vor Regressprüfung.</w:t>
      </w:r>
    </w:p>
    <w:p w:rsidR="00E82153" w:rsidRPr="003A0E91" w:rsidRDefault="00E82153" w:rsidP="0002732D">
      <w:pPr>
        <w:pStyle w:val="Listenabsatz"/>
        <w:numPr>
          <w:ilvl w:val="0"/>
          <w:numId w:val="6"/>
        </w:numPr>
        <w:jc w:val="both"/>
        <w:rPr>
          <w:rFonts w:ascii="Arial" w:hAnsi="Arial" w:cs="Arial"/>
        </w:rPr>
      </w:pPr>
      <w:r w:rsidRPr="003A0E91">
        <w:rPr>
          <w:rFonts w:ascii="Arial" w:hAnsi="Arial" w:cs="Arial"/>
        </w:rPr>
        <w:t>Verordnen darf nur der in der Genehmigung genannte Arzt. Arzt und Patient (Patientencompliance) verpflichten sich schriftlich zur Teilnahme an der Begleiterhebung der Bundes</w:t>
      </w:r>
      <w:r w:rsidR="003A0E91" w:rsidRPr="003A0E91">
        <w:rPr>
          <w:rFonts w:ascii="Arial" w:hAnsi="Arial" w:cs="Arial"/>
        </w:rPr>
        <w:t>opiumstelle.</w:t>
      </w:r>
    </w:p>
    <w:p w:rsidR="00E82153" w:rsidRPr="003A0E91" w:rsidRDefault="00E82153" w:rsidP="00E82153">
      <w:pPr>
        <w:pStyle w:val="Listenabsatz"/>
        <w:jc w:val="both"/>
        <w:rPr>
          <w:rFonts w:ascii="Arial" w:hAnsi="Arial" w:cs="Arial"/>
        </w:rPr>
      </w:pPr>
    </w:p>
    <w:p w:rsidR="00E82153" w:rsidRPr="003A0E91" w:rsidRDefault="00E82153" w:rsidP="00E82153">
      <w:pPr>
        <w:pStyle w:val="Listenabsatz"/>
        <w:ind w:left="1440"/>
        <w:jc w:val="both"/>
        <w:rPr>
          <w:rFonts w:ascii="Arial" w:hAnsi="Arial" w:cs="Arial"/>
        </w:rPr>
      </w:pPr>
    </w:p>
    <w:p w:rsidR="00E82153" w:rsidRPr="003A0E91" w:rsidRDefault="00E82153" w:rsidP="0085573B">
      <w:pPr>
        <w:jc w:val="both"/>
        <w:rPr>
          <w:rFonts w:cs="Arial"/>
          <w:sz w:val="24"/>
          <w:szCs w:val="24"/>
          <w:u w:val="single"/>
        </w:rPr>
      </w:pPr>
      <w:r w:rsidRPr="003A0E91">
        <w:rPr>
          <w:rFonts w:cs="Arial"/>
          <w:sz w:val="24"/>
          <w:szCs w:val="24"/>
          <w:u w:val="single"/>
        </w:rPr>
        <w:t>Praktische Durchführung im Rahmen eines stationären Aufenthaltes</w:t>
      </w:r>
    </w:p>
    <w:p w:rsidR="00E82153" w:rsidRPr="003A0E91" w:rsidRDefault="00E82153" w:rsidP="003A0E91">
      <w:pPr>
        <w:pStyle w:val="Listenabsatz"/>
        <w:numPr>
          <w:ilvl w:val="0"/>
          <w:numId w:val="8"/>
        </w:numPr>
        <w:jc w:val="both"/>
        <w:rPr>
          <w:rFonts w:ascii="Arial" w:hAnsi="Arial" w:cs="Arial"/>
        </w:rPr>
      </w:pPr>
      <w:r w:rsidRPr="003A0E91">
        <w:rPr>
          <w:rFonts w:ascii="Arial" w:hAnsi="Arial" w:cs="Arial"/>
        </w:rPr>
        <w:t>Überprüfung der Therapieresistenz, Überprüfung der bisherigen Medikation. Nebeneffekt Kennenlernen der Substanz durch den Therapeuten (Nebenwirkungen, Wirkung, Titration, Wirkeintritt, benötigte Dosis)</w:t>
      </w:r>
    </w:p>
    <w:p w:rsidR="00E82153" w:rsidRPr="003A0E91" w:rsidRDefault="00E82153" w:rsidP="003A0E91">
      <w:pPr>
        <w:pStyle w:val="Listenabsatz"/>
        <w:numPr>
          <w:ilvl w:val="0"/>
          <w:numId w:val="8"/>
        </w:numPr>
        <w:jc w:val="both"/>
        <w:rPr>
          <w:rFonts w:ascii="Arial" w:hAnsi="Arial" w:cs="Arial"/>
        </w:rPr>
      </w:pPr>
      <w:r w:rsidRPr="003A0E91">
        <w:rPr>
          <w:rFonts w:ascii="Arial" w:hAnsi="Arial" w:cs="Arial"/>
        </w:rPr>
        <w:t xml:space="preserve">Psychologische Evaluation und Test auf Suchtverhalten durch Arzt mit </w:t>
      </w:r>
      <w:r w:rsidR="0085573B" w:rsidRPr="003A0E91">
        <w:rPr>
          <w:rFonts w:ascii="Arial" w:hAnsi="Arial" w:cs="Arial"/>
        </w:rPr>
        <w:t xml:space="preserve">der </w:t>
      </w:r>
      <w:r w:rsidRPr="003A0E91">
        <w:rPr>
          <w:rFonts w:ascii="Arial" w:hAnsi="Arial" w:cs="Arial"/>
        </w:rPr>
        <w:t>Zusatzbe</w:t>
      </w:r>
      <w:r w:rsidR="0085573B" w:rsidRPr="003A0E91">
        <w:rPr>
          <w:rFonts w:ascii="Arial" w:hAnsi="Arial" w:cs="Arial"/>
        </w:rPr>
        <w:t>zeichnung Suchtmedizin</w:t>
      </w:r>
    </w:p>
    <w:p w:rsidR="00E82153" w:rsidRPr="003A0E91" w:rsidRDefault="00E82153" w:rsidP="003A0E91">
      <w:pPr>
        <w:pStyle w:val="Listenabsatz"/>
        <w:numPr>
          <w:ilvl w:val="0"/>
          <w:numId w:val="8"/>
        </w:numPr>
        <w:jc w:val="both"/>
        <w:rPr>
          <w:rFonts w:ascii="Arial" w:hAnsi="Arial" w:cs="Arial"/>
        </w:rPr>
      </w:pPr>
      <w:r w:rsidRPr="003A0E91">
        <w:rPr>
          <w:rFonts w:ascii="Arial" w:hAnsi="Arial" w:cs="Arial"/>
        </w:rPr>
        <w:t>Überprüfung der Compliance (hält sich der Patient an das vor Aufnahme abgesprochene Procedere, wi</w:t>
      </w:r>
      <w:r w:rsidR="0085573B" w:rsidRPr="003A0E91">
        <w:rPr>
          <w:rFonts w:ascii="Arial" w:hAnsi="Arial" w:cs="Arial"/>
        </w:rPr>
        <w:t>e beurteilen die Teammitglieder</w:t>
      </w:r>
      <w:r w:rsidRPr="003A0E91">
        <w:rPr>
          <w:rFonts w:ascii="Arial" w:hAnsi="Arial" w:cs="Arial"/>
        </w:rPr>
        <w:t xml:space="preserve"> den Patienten und die Wirksamkeit). Patienten, die nicht bereit sind, diese auch aus therapeutischer Sicht aufwendige und neue Therapie unter stationären Bedingungen durchzuführen, sind unserer Ansicht nach nicht für eine Cannabistherapie geeignet. Auch Patienten, die nur medizinisches Cannabis einnehmen wollen und die damit verbundenen potentiellen Nachteile für sich nicht sehen, sind nicht geeignet. </w:t>
      </w:r>
    </w:p>
    <w:p w:rsidR="00E82153" w:rsidRPr="003A0E91" w:rsidRDefault="00E82153" w:rsidP="003A0E91">
      <w:pPr>
        <w:pStyle w:val="Listenabsatz"/>
        <w:numPr>
          <w:ilvl w:val="0"/>
          <w:numId w:val="8"/>
        </w:numPr>
        <w:jc w:val="both"/>
        <w:rPr>
          <w:rFonts w:ascii="Arial" w:hAnsi="Arial" w:cs="Arial"/>
        </w:rPr>
      </w:pPr>
      <w:r w:rsidRPr="003A0E91">
        <w:rPr>
          <w:rFonts w:ascii="Arial" w:hAnsi="Arial" w:cs="Arial"/>
        </w:rPr>
        <w:t>Absetzen der bisherigen Schmerzmedikation und überlappend Beginn der Titration. Aus unserer Sicht i</w:t>
      </w:r>
      <w:r w:rsidR="0085573B" w:rsidRPr="003A0E91">
        <w:rPr>
          <w:rFonts w:ascii="Arial" w:hAnsi="Arial" w:cs="Arial"/>
        </w:rPr>
        <w:t>st jegliche Therapie/</w:t>
      </w:r>
      <w:r w:rsidR="00460E6C">
        <w:rPr>
          <w:rFonts w:ascii="Arial" w:hAnsi="Arial" w:cs="Arial"/>
        </w:rPr>
        <w:t xml:space="preserve"> </w:t>
      </w:r>
      <w:r w:rsidR="0085573B" w:rsidRPr="003A0E91">
        <w:rPr>
          <w:rFonts w:ascii="Arial" w:hAnsi="Arial" w:cs="Arial"/>
        </w:rPr>
        <w:t>Medikation</w:t>
      </w:r>
      <w:r w:rsidRPr="003A0E91">
        <w:rPr>
          <w:rFonts w:ascii="Arial" w:hAnsi="Arial" w:cs="Arial"/>
        </w:rPr>
        <w:t xml:space="preserve">  nur sinnvoll, wenn sie die bisheri</w:t>
      </w:r>
      <w:r w:rsidR="003A0E91">
        <w:rPr>
          <w:rFonts w:ascii="Arial" w:hAnsi="Arial" w:cs="Arial"/>
        </w:rPr>
        <w:t xml:space="preserve">ge Therapie/Medikation ersetzt. </w:t>
      </w:r>
      <w:r w:rsidRPr="003A0E91">
        <w:rPr>
          <w:rFonts w:ascii="Arial" w:hAnsi="Arial" w:cs="Arial"/>
        </w:rPr>
        <w:t xml:space="preserve">Ferner können sich Nebenwirkungen addieren, z. B. Verstärkung der Sedierung bei gleichzeitiger Anwendung von Opiaten und Cannabis, obwohl laut Studienlage die Kombination von Opiaten und Cannabis empfohlen wird, weil durch Cannabis der Patient wieder besser auf Opiate ansprechen soll. Auch die Kombination von Antidepressiva (Trizyklika) und Cannabis in Bezug auf kardiale und psychische Symptome ist nicht ungefährlich.  </w:t>
      </w:r>
    </w:p>
    <w:p w:rsidR="003A0E91" w:rsidRDefault="00E82153" w:rsidP="003A0E91">
      <w:pPr>
        <w:pStyle w:val="Listenabsatz"/>
        <w:numPr>
          <w:ilvl w:val="0"/>
          <w:numId w:val="8"/>
        </w:numPr>
        <w:jc w:val="both"/>
        <w:rPr>
          <w:rFonts w:ascii="Arial" w:hAnsi="Arial" w:cs="Arial"/>
        </w:rPr>
      </w:pPr>
      <w:r w:rsidRPr="003A0E91">
        <w:rPr>
          <w:rFonts w:ascii="Arial" w:hAnsi="Arial" w:cs="Arial"/>
        </w:rPr>
        <w:t>Falls</w:t>
      </w:r>
      <w:r w:rsidR="0085573B" w:rsidRPr="003A0E91">
        <w:rPr>
          <w:rFonts w:ascii="Arial" w:hAnsi="Arial" w:cs="Arial"/>
        </w:rPr>
        <w:t xml:space="preserve"> ein</w:t>
      </w:r>
      <w:r w:rsidRPr="003A0E91">
        <w:rPr>
          <w:rFonts w:ascii="Arial" w:hAnsi="Arial" w:cs="Arial"/>
        </w:rPr>
        <w:t xml:space="preserve"> positiver Effekt (mindestens 50% Symptomverbesserung, keine Nebenwirkungen)</w:t>
      </w:r>
      <w:r w:rsidR="0085573B" w:rsidRPr="003A0E91">
        <w:rPr>
          <w:rFonts w:ascii="Arial" w:hAnsi="Arial" w:cs="Arial"/>
        </w:rPr>
        <w:t xml:space="preserve"> eintritt</w:t>
      </w:r>
      <w:r w:rsidRPr="003A0E91">
        <w:rPr>
          <w:rFonts w:ascii="Arial" w:hAnsi="Arial" w:cs="Arial"/>
        </w:rPr>
        <w:t>, dann Auslaßversuch, auch um Entzugssymptomatik und Gewöhnungseffekt zu beurteilen und Patient Angst davor zu nehmen.</w:t>
      </w:r>
    </w:p>
    <w:p w:rsidR="00E82153" w:rsidRPr="003A0E91" w:rsidRDefault="003A0E91" w:rsidP="003A0E91">
      <w:pPr>
        <w:pStyle w:val="Listenabsatz"/>
        <w:numPr>
          <w:ilvl w:val="0"/>
          <w:numId w:val="8"/>
        </w:numPr>
        <w:jc w:val="both"/>
        <w:rPr>
          <w:rFonts w:ascii="Arial" w:hAnsi="Arial" w:cs="Arial"/>
          <w:b/>
        </w:rPr>
      </w:pPr>
      <w:r w:rsidRPr="003A0E91">
        <w:rPr>
          <w:rFonts w:ascii="Arial" w:hAnsi="Arial" w:cs="Arial"/>
          <w:b/>
        </w:rPr>
        <w:t>Da nicht zu erwarten ist, dass die Krankenkasse bzw. der MDK</w:t>
      </w:r>
      <w:r w:rsidR="00E82153" w:rsidRPr="003A0E91">
        <w:rPr>
          <w:rFonts w:ascii="Arial" w:hAnsi="Arial" w:cs="Arial"/>
          <w:b/>
        </w:rPr>
        <w:t xml:space="preserve"> </w:t>
      </w:r>
      <w:r w:rsidRPr="003A0E91">
        <w:rPr>
          <w:rFonts w:ascii="Arial" w:hAnsi="Arial" w:cs="Arial"/>
          <w:b/>
        </w:rPr>
        <w:t>bis zum Entlasstermin das Medikament Dronabinol genehmigt</w:t>
      </w:r>
      <w:r w:rsidR="00460E6C">
        <w:rPr>
          <w:rFonts w:ascii="Arial" w:hAnsi="Arial" w:cs="Arial"/>
          <w:b/>
        </w:rPr>
        <w:t>,</w:t>
      </w:r>
      <w:r w:rsidRPr="003A0E91">
        <w:rPr>
          <w:rFonts w:ascii="Arial" w:hAnsi="Arial" w:cs="Arial"/>
          <w:b/>
        </w:rPr>
        <w:t xml:space="preserve"> werden Sie in jedem Fall ohne Dronabinol die Klinik verlassen.</w:t>
      </w:r>
    </w:p>
    <w:p w:rsidR="00E82153" w:rsidRPr="003A0E91" w:rsidRDefault="00E82153" w:rsidP="003A0E91">
      <w:pPr>
        <w:pStyle w:val="Listenabsatz"/>
        <w:numPr>
          <w:ilvl w:val="0"/>
          <w:numId w:val="8"/>
        </w:numPr>
        <w:jc w:val="both"/>
        <w:rPr>
          <w:rFonts w:ascii="Arial" w:hAnsi="Arial" w:cs="Arial"/>
        </w:rPr>
      </w:pPr>
      <w:r w:rsidRPr="003A0E91">
        <w:rPr>
          <w:rFonts w:ascii="Arial" w:hAnsi="Arial" w:cs="Arial"/>
        </w:rPr>
        <w:t>Beantragung der Genehmigung bei Aufnahme, wei</w:t>
      </w:r>
      <w:r w:rsidR="003A0E91" w:rsidRPr="003A0E91">
        <w:rPr>
          <w:rFonts w:ascii="Arial" w:hAnsi="Arial" w:cs="Arial"/>
        </w:rPr>
        <w:t>l Genehmigung teilweise bis zu 5</w:t>
      </w:r>
      <w:r w:rsidRPr="003A0E91">
        <w:rPr>
          <w:rFonts w:ascii="Arial" w:hAnsi="Arial" w:cs="Arial"/>
        </w:rPr>
        <w:t xml:space="preserve"> Wochen dauert. Antrag, Procedere und Sinn wird telefonisch mit Krankenkasse abgesprochen, ggfs. auch Rücknahme des Antrages, andernfalls Weiterverordnung von Cannabis.</w:t>
      </w:r>
    </w:p>
    <w:p w:rsidR="00E82153" w:rsidRPr="003A0E91" w:rsidRDefault="00E82153" w:rsidP="003A0E91">
      <w:pPr>
        <w:pStyle w:val="Listenabsatz"/>
        <w:numPr>
          <w:ilvl w:val="0"/>
          <w:numId w:val="8"/>
        </w:numPr>
        <w:jc w:val="both"/>
        <w:rPr>
          <w:rFonts w:ascii="Arial" w:hAnsi="Arial" w:cs="Arial"/>
        </w:rPr>
      </w:pPr>
      <w:r w:rsidRPr="00460E6C">
        <w:rPr>
          <w:rFonts w:ascii="Arial" w:hAnsi="Arial" w:cs="Arial"/>
          <w:b/>
        </w:rPr>
        <w:t xml:space="preserve">Ambulante (Weiter)verordnung erfolgt durch unsere Ambulanz, Patient muss Rezept persönlich abholen und sich mindestens einmal im Quartal </w:t>
      </w:r>
      <w:r w:rsidRPr="00460E6C">
        <w:rPr>
          <w:rFonts w:ascii="Arial" w:hAnsi="Arial" w:cs="Arial"/>
          <w:b/>
        </w:rPr>
        <w:lastRenderedPageBreak/>
        <w:t>zum Gespräch, Untersuchung und Ausfüllen der Fragebögen vorstellen</w:t>
      </w:r>
      <w:r w:rsidRPr="003A0E91">
        <w:rPr>
          <w:rFonts w:ascii="Arial" w:hAnsi="Arial" w:cs="Arial"/>
        </w:rPr>
        <w:t xml:space="preserve">. Sollte dies nicht möglich sein, wird vorab mit der behandelnden Hausärztin/Hausarzt eine Alternative besprochen. </w:t>
      </w:r>
    </w:p>
    <w:p w:rsidR="00E82153" w:rsidRPr="003A0E91" w:rsidRDefault="00E82153" w:rsidP="00E82153">
      <w:pPr>
        <w:pStyle w:val="Listenabsatz"/>
        <w:ind w:left="1440"/>
        <w:jc w:val="both"/>
        <w:rPr>
          <w:rFonts w:ascii="Arial" w:hAnsi="Arial" w:cs="Arial"/>
        </w:rPr>
      </w:pPr>
    </w:p>
    <w:p w:rsidR="00E82153" w:rsidRPr="003A0E91" w:rsidRDefault="00E82153" w:rsidP="00E82153">
      <w:pPr>
        <w:pStyle w:val="Listenabsatz"/>
        <w:ind w:left="0"/>
        <w:jc w:val="both"/>
        <w:rPr>
          <w:rFonts w:ascii="Arial" w:hAnsi="Arial" w:cs="Arial"/>
        </w:rPr>
      </w:pPr>
    </w:p>
    <w:p w:rsidR="00244F4C" w:rsidRPr="00460E6C" w:rsidRDefault="003A0E91" w:rsidP="00460E6C">
      <w:pPr>
        <w:spacing w:line="360" w:lineRule="auto"/>
        <w:rPr>
          <w:b/>
        </w:rPr>
      </w:pPr>
      <w:r w:rsidRPr="00460E6C">
        <w:rPr>
          <w:b/>
        </w:rPr>
        <w:t>Ich habe im Aufnahmegespräch alle Informationen</w:t>
      </w:r>
      <w:r w:rsidR="00460E6C" w:rsidRPr="00460E6C">
        <w:rPr>
          <w:b/>
        </w:rPr>
        <w:t xml:space="preserve"> zum Ablauf der Therapie (Testung des Dronabinol) verstanden und eventuell aufgetretene Fragen stellen können.</w:t>
      </w:r>
    </w:p>
    <w:p w:rsidR="00460E6C" w:rsidRPr="00460E6C" w:rsidRDefault="00460E6C" w:rsidP="00460E6C">
      <w:pPr>
        <w:spacing w:line="360" w:lineRule="auto"/>
        <w:rPr>
          <w:b/>
        </w:rPr>
      </w:pPr>
    </w:p>
    <w:p w:rsidR="00460E6C" w:rsidRDefault="00460E6C" w:rsidP="00460E6C">
      <w:pPr>
        <w:spacing w:line="360" w:lineRule="auto"/>
        <w:rPr>
          <w:b/>
        </w:rPr>
      </w:pPr>
      <w:r w:rsidRPr="00460E6C">
        <w:rPr>
          <w:b/>
        </w:rPr>
        <w:t xml:space="preserve">Insbesondere die Tatsache, dass durch das Genehmigungsverfahren bis zum Entlasstermin das Dronabinol wieder beendet werden muss und somit die Schmerzen wieder stärker werden, ist mir bewusst. </w:t>
      </w:r>
    </w:p>
    <w:p w:rsidR="00460E6C" w:rsidRDefault="00460E6C" w:rsidP="00460E6C">
      <w:pPr>
        <w:spacing w:line="360" w:lineRule="auto"/>
        <w:rPr>
          <w:b/>
        </w:rPr>
      </w:pPr>
    </w:p>
    <w:p w:rsidR="00460E6C" w:rsidRDefault="00460E6C" w:rsidP="00460E6C">
      <w:pPr>
        <w:spacing w:line="480" w:lineRule="auto"/>
        <w:rPr>
          <w:b/>
        </w:rPr>
      </w:pPr>
      <w:r>
        <w:rPr>
          <w:b/>
        </w:rPr>
        <w:t>------------------------------------------------------------------------------------------------------------------------------------------------------------------------------------------------------------------------------------------------------------------------------------------------------------------------------------------------------------------------------------------------------------------------------------------------------------------------------------------------------------------------------------------------------------------------------------------------------------------------------------------------------------------------------------------------------------------------------------------------------------------------------------------------------------------------------------------------------------------------------------------------------------------------------------------------------------------------------------------------------------------------</w:t>
      </w:r>
    </w:p>
    <w:p w:rsidR="00460E6C" w:rsidRDefault="00460E6C" w:rsidP="00460E6C">
      <w:pPr>
        <w:spacing w:line="360" w:lineRule="auto"/>
        <w:rPr>
          <w:b/>
        </w:rPr>
      </w:pPr>
    </w:p>
    <w:p w:rsidR="00460E6C" w:rsidRDefault="00460E6C" w:rsidP="00460E6C">
      <w:pPr>
        <w:spacing w:line="360" w:lineRule="auto"/>
        <w:rPr>
          <w:b/>
        </w:rPr>
      </w:pPr>
    </w:p>
    <w:p w:rsidR="00460E6C" w:rsidRDefault="00460E6C" w:rsidP="00460E6C">
      <w:pPr>
        <w:spacing w:line="360" w:lineRule="auto"/>
        <w:rPr>
          <w:b/>
        </w:rPr>
      </w:pPr>
      <w:r>
        <w:rPr>
          <w:b/>
        </w:rPr>
        <w:t>Unterschrift Arzt</w:t>
      </w:r>
    </w:p>
    <w:p w:rsidR="00460E6C" w:rsidRDefault="00460E6C" w:rsidP="00460E6C">
      <w:pPr>
        <w:spacing w:line="360" w:lineRule="auto"/>
        <w:rPr>
          <w:b/>
        </w:rPr>
      </w:pPr>
    </w:p>
    <w:p w:rsidR="00460E6C" w:rsidRDefault="00460E6C" w:rsidP="00460E6C">
      <w:pPr>
        <w:spacing w:line="360" w:lineRule="auto"/>
        <w:rPr>
          <w:b/>
        </w:rPr>
      </w:pPr>
    </w:p>
    <w:p w:rsidR="00460E6C" w:rsidRDefault="00460E6C" w:rsidP="00460E6C">
      <w:pPr>
        <w:spacing w:line="360" w:lineRule="auto"/>
        <w:rPr>
          <w:b/>
        </w:rPr>
      </w:pPr>
      <w:r>
        <w:rPr>
          <w:b/>
        </w:rPr>
        <w:t>Unterschrift Patient</w:t>
      </w:r>
    </w:p>
    <w:p w:rsidR="00460E6C" w:rsidRDefault="00460E6C" w:rsidP="00460E6C">
      <w:pPr>
        <w:spacing w:line="360" w:lineRule="auto"/>
        <w:rPr>
          <w:b/>
        </w:rPr>
      </w:pPr>
    </w:p>
    <w:p w:rsidR="00460E6C" w:rsidRDefault="00460E6C" w:rsidP="00460E6C">
      <w:pPr>
        <w:spacing w:line="360" w:lineRule="auto"/>
        <w:rPr>
          <w:b/>
        </w:rPr>
      </w:pPr>
    </w:p>
    <w:p w:rsidR="00460E6C" w:rsidRPr="00460E6C" w:rsidRDefault="00460E6C" w:rsidP="00460E6C">
      <w:pPr>
        <w:spacing w:line="360" w:lineRule="auto"/>
        <w:rPr>
          <w:b/>
        </w:rPr>
      </w:pPr>
      <w:r>
        <w:rPr>
          <w:b/>
        </w:rPr>
        <w:t>Eine Kopie dieses Dokuments habe ich erhalten</w:t>
      </w:r>
    </w:p>
    <w:sectPr w:rsidR="00460E6C" w:rsidRPr="00460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10D"/>
    <w:multiLevelType w:val="hybridMultilevel"/>
    <w:tmpl w:val="29DA1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E3FEB"/>
    <w:multiLevelType w:val="hybridMultilevel"/>
    <w:tmpl w:val="B280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D522A"/>
    <w:multiLevelType w:val="hybridMultilevel"/>
    <w:tmpl w:val="CDFAA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921A70"/>
    <w:multiLevelType w:val="hybridMultilevel"/>
    <w:tmpl w:val="CDA83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792E14"/>
    <w:multiLevelType w:val="hybridMultilevel"/>
    <w:tmpl w:val="8AC668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55F428D"/>
    <w:multiLevelType w:val="hybridMultilevel"/>
    <w:tmpl w:val="DEB2F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AA2700"/>
    <w:multiLevelType w:val="hybridMultilevel"/>
    <w:tmpl w:val="BABA14E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53"/>
    <w:rsid w:val="0002732D"/>
    <w:rsid w:val="00095DBA"/>
    <w:rsid w:val="00244F4C"/>
    <w:rsid w:val="00321FF2"/>
    <w:rsid w:val="003A0E91"/>
    <w:rsid w:val="00460E6C"/>
    <w:rsid w:val="0085573B"/>
    <w:rsid w:val="008F512E"/>
    <w:rsid w:val="00E82153"/>
    <w:rsid w:val="00F022C2"/>
    <w:rsid w:val="00F33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6DCFF-AA93-4DD1-AB4C-C7CEB6C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15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E82153"/>
    <w:rPr>
      <w:color w:val="0000FF"/>
      <w:u w:val="single"/>
    </w:rPr>
  </w:style>
  <w:style w:type="paragraph" w:styleId="Listenabsatz">
    <w:name w:val="List Paragraph"/>
    <w:basedOn w:val="Standard"/>
    <w:uiPriority w:val="34"/>
    <w:qFormat/>
    <w:rsid w:val="00E82153"/>
    <w:pPr>
      <w:ind w:left="720"/>
      <w:contextualSpacing/>
    </w:pPr>
    <w:rPr>
      <w:rFonts w:ascii="Calibri" w:hAnsi="Calibri"/>
      <w:sz w:val="24"/>
      <w:szCs w:val="24"/>
    </w:rPr>
  </w:style>
  <w:style w:type="character" w:customStyle="1" w:styleId="apple-converted-space">
    <w:name w:val="apple-converted-space"/>
    <w:basedOn w:val="Absatz-Standardschriftart"/>
    <w:rsid w:val="00E82153"/>
  </w:style>
  <w:style w:type="paragraph" w:styleId="Sprechblasentext">
    <w:name w:val="Balloon Text"/>
    <w:basedOn w:val="Standard"/>
    <w:link w:val="SprechblasentextZchn"/>
    <w:uiPriority w:val="99"/>
    <w:semiHidden/>
    <w:unhideWhenUsed/>
    <w:rsid w:val="00460E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E6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da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12D486B8</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SLK-Kliniken GmbH</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 Pfeiffer</dc:creator>
  <cp:lastModifiedBy>Teubner, Erik</cp:lastModifiedBy>
  <cp:revision>2</cp:revision>
  <cp:lastPrinted>2018-02-16T21:29:00Z</cp:lastPrinted>
  <dcterms:created xsi:type="dcterms:W3CDTF">2018-03-23T09:32:00Z</dcterms:created>
  <dcterms:modified xsi:type="dcterms:W3CDTF">2018-03-23T09:32:00Z</dcterms:modified>
</cp:coreProperties>
</file>